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spacing w:val="16"/>
          <w:kern w:val="0"/>
          <w:sz w:val="32"/>
          <w:szCs w:val="32"/>
        </w:rPr>
      </w:pPr>
      <w:r>
        <w:rPr>
          <w:rFonts w:hint="default" w:ascii="Times New Roman" w:hAnsi="Times New Roman" w:eastAsia="黑体" w:cs="Times New Roman"/>
          <w:sz w:val="32"/>
          <w:szCs w:val="32"/>
        </w:rPr>
        <w:t>附件</w:t>
      </w:r>
    </w:p>
    <w:p>
      <w:pPr>
        <w:autoSpaceDE w:val="0"/>
        <w:autoSpaceDN w:val="0"/>
        <w:adjustRightInd w:val="0"/>
        <w:jc w:val="center"/>
        <w:rPr>
          <w:rFonts w:hint="default" w:ascii="Times New Roman" w:hAnsi="Times New Roman" w:eastAsia="黑体" w:cs="Times New Roman"/>
          <w:sz w:val="36"/>
          <w:szCs w:val="36"/>
        </w:rPr>
      </w:pPr>
      <w:bookmarkStart w:id="0" w:name="_GoBack"/>
      <w:r>
        <w:rPr>
          <w:rFonts w:hint="default" w:ascii="Times New Roman" w:hAnsi="Times New Roman" w:eastAsia="黑体" w:cs="Times New Roman"/>
          <w:sz w:val="36"/>
          <w:szCs w:val="36"/>
        </w:rPr>
        <w:t>福建省晋江文旅集团有限公司及权属子公司公开招聘工作人员职位表</w:t>
      </w:r>
      <w:bookmarkEnd w:id="0"/>
    </w:p>
    <w:tbl>
      <w:tblPr>
        <w:tblStyle w:val="3"/>
        <w:tblpPr w:leftFromText="180" w:rightFromText="180" w:vertAnchor="text" w:horzAnchor="page" w:tblpXSpec="center" w:tblpY="193"/>
        <w:tblOverlap w:val="never"/>
        <w:tblW w:w="5076" w:type="pct"/>
        <w:jc w:val="center"/>
        <w:tblLayout w:type="autofit"/>
        <w:tblCellMar>
          <w:top w:w="0" w:type="dxa"/>
          <w:left w:w="108" w:type="dxa"/>
          <w:bottom w:w="0" w:type="dxa"/>
          <w:right w:w="108" w:type="dxa"/>
        </w:tblCellMar>
      </w:tblPr>
      <w:tblGrid>
        <w:gridCol w:w="648"/>
        <w:gridCol w:w="984"/>
        <w:gridCol w:w="912"/>
        <w:gridCol w:w="809"/>
        <w:gridCol w:w="826"/>
        <w:gridCol w:w="769"/>
        <w:gridCol w:w="812"/>
        <w:gridCol w:w="737"/>
        <w:gridCol w:w="1410"/>
        <w:gridCol w:w="3480"/>
        <w:gridCol w:w="843"/>
        <w:gridCol w:w="2159"/>
      </w:tblGrid>
      <w:tr>
        <w:tblPrEx>
          <w:tblCellMar>
            <w:top w:w="0" w:type="dxa"/>
            <w:left w:w="108" w:type="dxa"/>
            <w:bottom w:w="0" w:type="dxa"/>
            <w:right w:w="108" w:type="dxa"/>
          </w:tblCellMar>
        </w:tblPrEx>
        <w:trPr>
          <w:trHeight w:val="600"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tabs>
                <w:tab w:val="left" w:pos="13000"/>
              </w:tabs>
              <w:bidi w:val="0"/>
              <w:jc w:val="left"/>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岗位</w:t>
            </w:r>
          </w:p>
          <w:p>
            <w:pPr>
              <w:tabs>
                <w:tab w:val="left" w:pos="13000"/>
              </w:tabs>
              <w:bidi w:val="0"/>
              <w:jc w:val="left"/>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代码</w:t>
            </w:r>
            <w:r>
              <w:rPr>
                <w:rFonts w:hint="default" w:ascii="Times New Roman" w:hAnsi="Times New Roman" w:cs="Times New Roman"/>
                <w:lang w:val="en-US" w:eastAsia="zh-CN"/>
              </w:rPr>
              <w:tab/>
            </w:r>
            <w:r>
              <w:rPr>
                <w:rFonts w:hint="default" w:ascii="Times New Roman" w:hAnsi="Times New Roman" w:eastAsia="楷体" w:cs="Times New Roman"/>
                <w:b/>
                <w:bCs/>
                <w:color w:val="auto"/>
                <w:kern w:val="0"/>
                <w:sz w:val="24"/>
                <w:highlight w:val="none"/>
              </w:rPr>
              <w:t>位代码</w:t>
            </w:r>
          </w:p>
        </w:tc>
        <w:tc>
          <w:tcPr>
            <w:tcW w:w="342"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招聘</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企业</w:t>
            </w:r>
          </w:p>
        </w:tc>
        <w:tc>
          <w:tcPr>
            <w:tcW w:w="316"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岗位</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名称</w:t>
            </w:r>
          </w:p>
        </w:tc>
        <w:tc>
          <w:tcPr>
            <w:tcW w:w="281"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lang w:eastAsia="zh-CN"/>
              </w:rPr>
            </w:pPr>
            <w:r>
              <w:rPr>
                <w:rFonts w:hint="default" w:ascii="Times New Roman" w:hAnsi="Times New Roman" w:eastAsia="楷体" w:cs="Times New Roman"/>
                <w:b/>
                <w:bCs/>
                <w:color w:val="auto"/>
                <w:kern w:val="0"/>
                <w:sz w:val="24"/>
                <w:highlight w:val="none"/>
              </w:rPr>
              <w:t>招聘</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人数</w:t>
            </w:r>
          </w:p>
        </w:tc>
        <w:tc>
          <w:tcPr>
            <w:tcW w:w="287"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性别</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要求</w:t>
            </w:r>
          </w:p>
        </w:tc>
        <w:tc>
          <w:tcPr>
            <w:tcW w:w="267"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年龄</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要求</w:t>
            </w:r>
          </w:p>
        </w:tc>
        <w:tc>
          <w:tcPr>
            <w:tcW w:w="282"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学历</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要求</w:t>
            </w:r>
          </w:p>
        </w:tc>
        <w:tc>
          <w:tcPr>
            <w:tcW w:w="256"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学位</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要求</w:t>
            </w:r>
          </w:p>
        </w:tc>
        <w:tc>
          <w:tcPr>
            <w:tcW w:w="490"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专业要求</w:t>
            </w:r>
          </w:p>
        </w:tc>
        <w:tc>
          <w:tcPr>
            <w:tcW w:w="1209"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岗位要求</w:t>
            </w: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招聘</w:t>
            </w:r>
          </w:p>
          <w:p>
            <w:pPr>
              <w:widowControl/>
              <w:jc w:val="center"/>
              <w:rPr>
                <w:rFonts w:hint="default" w:ascii="Times New Roman" w:hAnsi="Times New Roman" w:eastAsia="楷体" w:cs="Times New Roman"/>
                <w:b/>
                <w:bCs/>
                <w:color w:val="auto"/>
                <w:kern w:val="0"/>
                <w:sz w:val="24"/>
                <w:highlight w:val="none"/>
              </w:rPr>
            </w:pPr>
            <w:r>
              <w:rPr>
                <w:rFonts w:hint="default" w:ascii="Times New Roman" w:hAnsi="Times New Roman" w:eastAsia="楷体" w:cs="Times New Roman"/>
                <w:b/>
                <w:bCs/>
                <w:color w:val="auto"/>
                <w:kern w:val="0"/>
                <w:sz w:val="24"/>
                <w:highlight w:val="none"/>
              </w:rPr>
              <w:t>方式</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楷体" w:cs="Times New Roman"/>
                <w:b/>
                <w:bCs/>
                <w:color w:val="auto"/>
                <w:kern w:val="0"/>
                <w:sz w:val="24"/>
                <w:highlight w:val="none"/>
                <w:lang w:val="en-US" w:eastAsia="zh-CN"/>
              </w:rPr>
            </w:pPr>
            <w:r>
              <w:rPr>
                <w:rFonts w:hint="default" w:ascii="Times New Roman" w:hAnsi="Times New Roman" w:eastAsia="楷体" w:cs="Times New Roman"/>
                <w:b/>
                <w:bCs/>
                <w:color w:val="auto"/>
                <w:kern w:val="0"/>
                <w:sz w:val="24"/>
                <w:highlight w:val="none"/>
                <w:lang w:val="en-US" w:eastAsia="zh-CN"/>
              </w:rPr>
              <w:t>备注</w:t>
            </w:r>
          </w:p>
        </w:tc>
      </w:tr>
      <w:tr>
        <w:tblPrEx>
          <w:tblCellMar>
            <w:top w:w="0" w:type="dxa"/>
            <w:left w:w="108" w:type="dxa"/>
            <w:bottom w:w="0" w:type="dxa"/>
            <w:right w:w="108" w:type="dxa"/>
          </w:tblCellMar>
        </w:tblPrEx>
        <w:trPr>
          <w:trHeight w:val="4172"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福建省晋江文旅集团有限公司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财务部副经理</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（融资资金）</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40周岁及以下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财政金融类、经济贸易类、会计与审计类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1、持有中级及以上会计师或经济师职称；</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2、具有10年及以上工作经验，且具有5年及以上金融机构公司金融业务工作经验；</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3、具有全面的金融专业知识及财务管理经验，熟练掌握企业融资全流程；</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4、为人正直、责任心强、作风严谨、工作仔细认真；</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5、有较强的沟通协调能力、有良好的纪律性、团队合作以及开拓创新精神。</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引进人才</w:t>
            </w:r>
          </w:p>
        </w:tc>
        <w:tc>
          <w:tcPr>
            <w:tcW w:w="746"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 w:cs="Times New Roman"/>
                <w:i w:val="0"/>
                <w:iCs w:val="0"/>
                <w:color w:val="FF0000"/>
                <w:kern w:val="0"/>
                <w:sz w:val="24"/>
                <w:szCs w:val="24"/>
                <w:highlight w:val="none"/>
                <w:u w:val="none"/>
                <w:lang w:val="en-US" w:eastAsia="zh-CN"/>
              </w:rPr>
            </w:pPr>
          </w:p>
        </w:tc>
      </w:tr>
      <w:tr>
        <w:tblPrEx>
          <w:tblCellMar>
            <w:top w:w="0" w:type="dxa"/>
            <w:left w:w="108" w:type="dxa"/>
            <w:bottom w:w="0" w:type="dxa"/>
            <w:right w:w="108" w:type="dxa"/>
          </w:tblCellMar>
        </w:tblPrEx>
        <w:trPr>
          <w:trHeight w:val="4151"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02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福建省晋江文旅集团有限公司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财务部副经理</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（财务管理）</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40周岁及以下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财政金融类、经济贸易类、会计与审计类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1、持有中级会计师及以上职称，</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2、具有10年及以上工作经验，且具有5年及以上财务经理工作经验；</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3、熟悉财政金融、税收等相关知识；</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4、具有丰富的税收筹划、全面预算、业财融合和财务信息化等管理经验；</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5、具备良好的职业道德，及丰富的团队管理经验，有较强的沟通协调能力和团队协作能力。</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引进人才</w:t>
            </w:r>
          </w:p>
        </w:tc>
        <w:tc>
          <w:tcPr>
            <w:tcW w:w="746"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 w:cs="Times New Roman"/>
                <w:i w:val="0"/>
                <w:iCs w:val="0"/>
                <w:color w:val="FF0000"/>
                <w:kern w:val="0"/>
                <w:sz w:val="24"/>
                <w:szCs w:val="24"/>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持有注册会计师资格总成绩+4分。</w:t>
            </w:r>
          </w:p>
        </w:tc>
      </w:tr>
      <w:tr>
        <w:tblPrEx>
          <w:tblCellMar>
            <w:top w:w="0" w:type="dxa"/>
            <w:left w:w="108" w:type="dxa"/>
            <w:bottom w:w="0" w:type="dxa"/>
            <w:right w:w="108" w:type="dxa"/>
          </w:tblCellMar>
        </w:tblPrEx>
        <w:trPr>
          <w:trHeight w:val="3779"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03</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福建省晋江文旅集团有限公司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法务专员</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35周岁及以下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硕士研究生及以上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硕士及以上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法学类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认真细致，具有较强的沟通协调能力、分析判断能力和执行力，有良好的职业道德与团队精神。</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FF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bidi="ar"/>
              </w:rPr>
              <w:t>通过法律职业资格考试总成绩+2分；取得执业律师资格总成绩+2分。</w:t>
            </w:r>
          </w:p>
        </w:tc>
      </w:tr>
      <w:tr>
        <w:tblPrEx>
          <w:tblCellMar>
            <w:top w:w="0" w:type="dxa"/>
            <w:left w:w="108" w:type="dxa"/>
            <w:bottom w:w="0" w:type="dxa"/>
            <w:right w:w="108" w:type="dxa"/>
          </w:tblCellMar>
        </w:tblPrEx>
        <w:trPr>
          <w:trHeight w:val="3779"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04</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福建省晋江文旅集团有限公司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信息化专员</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3</w:t>
            </w:r>
            <w:r>
              <w:rPr>
                <w:rFonts w:hint="eastAsia" w:ascii="Times New Roman" w:hAnsi="Times New Roman" w:eastAsia="楷体" w:cs="Times New Roman"/>
                <w:i w:val="0"/>
                <w:iCs w:val="0"/>
                <w:color w:val="000000"/>
                <w:kern w:val="0"/>
                <w:sz w:val="22"/>
                <w:szCs w:val="22"/>
                <w:highlight w:val="none"/>
                <w:u w:val="none"/>
                <w:lang w:val="en-US" w:eastAsia="zh-CN"/>
              </w:rPr>
              <w:t>5</w:t>
            </w:r>
            <w:r>
              <w:rPr>
                <w:rFonts w:hint="default" w:ascii="Times New Roman" w:hAnsi="Times New Roman" w:eastAsia="楷体" w:cs="Times New Roman"/>
                <w:i w:val="0"/>
                <w:iCs w:val="0"/>
                <w:color w:val="000000"/>
                <w:kern w:val="0"/>
                <w:sz w:val="22"/>
                <w:szCs w:val="22"/>
                <w:highlight w:val="none"/>
                <w:u w:val="none"/>
                <w:lang w:val="en-US" w:eastAsia="zh-CN"/>
              </w:rPr>
              <w:t>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计算机科学与技术类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1、具有3年及以上信息化系统（如ERP/OA/HR等系统）实施或运维相关工作经验，其中属计算机软件技术类专业的可放宽为具有3年及以上相关工作经验；</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2、具有良好的分析能力和逻辑思维能力；能独立开展公司信息化系统的搭建、运维等工作，建立并完善信息化管理制度。</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eastAsia="楷体" w:cs="Times New Roman"/>
                <w:i w:val="0"/>
                <w:iCs w:val="0"/>
                <w:color w:val="FF0000"/>
                <w:kern w:val="0"/>
                <w:sz w:val="22"/>
                <w:szCs w:val="22"/>
                <w:highlight w:val="none"/>
                <w:u w:val="none"/>
                <w:lang w:val="en-US" w:eastAsia="zh-CN"/>
              </w:rPr>
            </w:pPr>
          </w:p>
        </w:tc>
      </w:tr>
      <w:tr>
        <w:tblPrEx>
          <w:tblCellMar>
            <w:top w:w="0" w:type="dxa"/>
            <w:left w:w="108" w:type="dxa"/>
            <w:bottom w:w="0" w:type="dxa"/>
            <w:right w:w="108" w:type="dxa"/>
          </w:tblCellMar>
        </w:tblPrEx>
        <w:trPr>
          <w:trHeight w:val="1701"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color w:val="000000"/>
                <w:kern w:val="0"/>
                <w:sz w:val="22"/>
                <w:szCs w:val="22"/>
                <w:lang w:val="en-US" w:eastAsia="zh-CN"/>
              </w:rPr>
              <w:t>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晋江国家体育城市股份有限公司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涉外专员</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3</w:t>
            </w:r>
            <w:r>
              <w:rPr>
                <w:rFonts w:hint="eastAsia" w:ascii="Times New Roman" w:hAnsi="Times New Roman" w:eastAsia="楷体" w:cs="Times New Roman"/>
                <w:i w:val="0"/>
                <w:iCs w:val="0"/>
                <w:color w:val="000000"/>
                <w:kern w:val="0"/>
                <w:sz w:val="22"/>
                <w:szCs w:val="22"/>
                <w:highlight w:val="none"/>
                <w:u w:val="none"/>
                <w:lang w:val="en-US" w:eastAsia="zh-CN"/>
              </w:rPr>
              <w:t>5</w:t>
            </w:r>
            <w:r>
              <w:rPr>
                <w:rFonts w:hint="default" w:ascii="Times New Roman" w:hAnsi="Times New Roman" w:eastAsia="楷体" w:cs="Times New Roman"/>
                <w:i w:val="0"/>
                <w:iCs w:val="0"/>
                <w:color w:val="000000"/>
                <w:kern w:val="0"/>
                <w:sz w:val="22"/>
                <w:szCs w:val="22"/>
                <w:highlight w:val="none"/>
                <w:u w:val="none"/>
                <w:lang w:val="en-US" w:eastAsia="zh-CN"/>
              </w:rPr>
              <w:t>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英语</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1、专业英语四级及以上；</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2、具有2年及以上</w:t>
            </w:r>
            <w:r>
              <w:rPr>
                <w:rFonts w:hint="eastAsia" w:ascii="Times New Roman" w:hAnsi="Times New Roman" w:eastAsia="楷体" w:cs="Times New Roman"/>
                <w:i w:val="0"/>
                <w:iCs w:val="0"/>
                <w:color w:val="000000"/>
                <w:kern w:val="0"/>
                <w:sz w:val="22"/>
                <w:szCs w:val="22"/>
                <w:highlight w:val="none"/>
                <w:u w:val="none"/>
                <w:lang w:val="en-US" w:eastAsia="zh-CN"/>
              </w:rPr>
              <w:t>英语教学或</w:t>
            </w:r>
            <w:r>
              <w:rPr>
                <w:rFonts w:hint="default" w:ascii="Times New Roman" w:hAnsi="Times New Roman" w:eastAsia="楷体" w:cs="Times New Roman"/>
                <w:i w:val="0"/>
                <w:iCs w:val="0"/>
                <w:color w:val="000000"/>
                <w:kern w:val="0"/>
                <w:sz w:val="22"/>
                <w:szCs w:val="22"/>
                <w:highlight w:val="none"/>
                <w:u w:val="none"/>
                <w:lang w:val="en-US" w:eastAsia="zh-CN"/>
              </w:rPr>
              <w:t>体育赛事活动的执行工作经验。</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楷体" w:cs="Times New Roman"/>
                <w:i w:val="0"/>
                <w:iCs w:val="0"/>
                <w:color w:val="FF0000"/>
                <w:kern w:val="0"/>
                <w:sz w:val="22"/>
                <w:szCs w:val="22"/>
                <w:highlight w:val="none"/>
                <w:u w:val="none"/>
                <w:lang w:val="en-US" w:eastAsia="zh-CN"/>
              </w:rPr>
            </w:pPr>
          </w:p>
        </w:tc>
      </w:tr>
      <w:tr>
        <w:tblPrEx>
          <w:tblCellMar>
            <w:top w:w="0" w:type="dxa"/>
            <w:left w:w="108" w:type="dxa"/>
            <w:bottom w:w="0" w:type="dxa"/>
            <w:right w:w="108" w:type="dxa"/>
          </w:tblCellMar>
        </w:tblPrEx>
        <w:trPr>
          <w:trHeight w:val="2071"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i w:val="0"/>
                <w:iCs w:val="0"/>
                <w:color w:val="000000"/>
                <w:kern w:val="0"/>
                <w:sz w:val="22"/>
                <w:szCs w:val="22"/>
                <w:highlight w:val="none"/>
                <w:u w:val="none"/>
                <w:lang w:val="en-US" w:eastAsia="zh-CN"/>
              </w:rPr>
              <w:t>06</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晋江国家体育城市股份有限公司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人力资源专员（兼党务工作）</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30周岁及以下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000000"/>
                <w:kern w:val="0"/>
                <w:sz w:val="22"/>
                <w:szCs w:val="22"/>
                <w:lang w:val="en-US" w:eastAsia="zh-CN" w:bidi="ar-SA"/>
              </w:rPr>
            </w:pPr>
            <w:r>
              <w:rPr>
                <w:rFonts w:hint="default" w:ascii="Times New Roman" w:hAnsi="Times New Roman" w:eastAsia="楷体" w:cs="Times New Roman"/>
                <w:color w:val="000000"/>
                <w:kern w:val="0"/>
                <w:sz w:val="22"/>
                <w:szCs w:val="22"/>
              </w:rPr>
              <w:t>工商管理类、公共管理类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rPr>
              <w:t>1、中共党员（含预备党员）；</w:t>
            </w:r>
          </w:p>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lang w:val="en-US" w:eastAsia="zh-CN"/>
              </w:rPr>
              <w:t>2</w:t>
            </w:r>
            <w:r>
              <w:rPr>
                <w:rFonts w:hint="default" w:ascii="Times New Roman" w:hAnsi="Times New Roman" w:eastAsia="楷体" w:cs="Times New Roman"/>
                <w:color w:val="auto"/>
                <w:kern w:val="0"/>
                <w:sz w:val="22"/>
                <w:szCs w:val="22"/>
              </w:rPr>
              <w:t>、具有较强的公文写作能力、组织谋划能力、沟通协调能力和执行能力；</w:t>
            </w:r>
          </w:p>
          <w:p>
            <w:pPr>
              <w:spacing w:line="260" w:lineRule="exact"/>
              <w:textAlignment w:val="center"/>
              <w:rPr>
                <w:rFonts w:hint="default" w:ascii="Times New Roman" w:hAnsi="Times New Roman" w:eastAsia="楷体" w:cs="Times New Roman"/>
                <w:color w:val="auto"/>
                <w:kern w:val="0"/>
                <w:sz w:val="22"/>
                <w:szCs w:val="22"/>
                <w:lang w:val="en-US" w:eastAsia="zh-CN" w:bidi="ar-SA"/>
              </w:rPr>
            </w:pPr>
            <w:r>
              <w:rPr>
                <w:rFonts w:hint="default" w:ascii="Times New Roman" w:hAnsi="Times New Roman" w:eastAsia="楷体" w:cs="Times New Roman"/>
                <w:color w:val="auto"/>
                <w:kern w:val="0"/>
                <w:sz w:val="22"/>
                <w:szCs w:val="22"/>
                <w:lang w:val="en-US" w:eastAsia="zh-CN"/>
              </w:rPr>
              <w:t>3</w:t>
            </w:r>
            <w:r>
              <w:rPr>
                <w:rFonts w:hint="default" w:ascii="Times New Roman" w:hAnsi="Times New Roman" w:eastAsia="楷体" w:cs="Times New Roman"/>
                <w:color w:val="auto"/>
                <w:kern w:val="0"/>
                <w:sz w:val="22"/>
                <w:szCs w:val="22"/>
              </w:rPr>
              <w:t xml:space="preserve">、能承担行政、人事的各项工作职责，熟悉办公流程和设备使用。                                                                                                      </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2"/>
                <w:szCs w:val="22"/>
                <w:lang w:val="en-US" w:eastAsia="zh-CN" w:bidi="ar-SA"/>
              </w:rPr>
            </w:pPr>
            <w:r>
              <w:rPr>
                <w:rFonts w:hint="default" w:ascii="Times New Roman" w:hAnsi="Times New Roman" w:eastAsia="楷体" w:cs="Times New Roman"/>
                <w:color w:val="auto"/>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color w:val="auto"/>
                <w:kern w:val="0"/>
                <w:sz w:val="24"/>
                <w:szCs w:val="24"/>
                <w:lang w:val="en-US" w:eastAsia="zh-CN" w:bidi="ar-SA"/>
              </w:rPr>
            </w:pPr>
          </w:p>
        </w:tc>
      </w:tr>
      <w:tr>
        <w:tblPrEx>
          <w:tblCellMar>
            <w:top w:w="0" w:type="dxa"/>
            <w:left w:w="108" w:type="dxa"/>
            <w:bottom w:w="0" w:type="dxa"/>
            <w:right w:w="108" w:type="dxa"/>
          </w:tblCellMar>
        </w:tblPrEx>
        <w:trPr>
          <w:trHeight w:val="1701"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color w:val="000000"/>
                <w:kern w:val="0"/>
                <w:sz w:val="22"/>
                <w:szCs w:val="22"/>
                <w:lang w:val="en-US" w:eastAsia="zh-CN"/>
              </w:rPr>
              <w:t>07</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晋江市清新体育发展有限公司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晋江市足球训练中心市场专员</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3</w:t>
            </w:r>
            <w:r>
              <w:rPr>
                <w:rFonts w:hint="eastAsia" w:ascii="Times New Roman" w:hAnsi="Times New Roman" w:eastAsia="楷体" w:cs="Times New Roman"/>
                <w:i w:val="0"/>
                <w:iCs w:val="0"/>
                <w:color w:val="000000"/>
                <w:kern w:val="0"/>
                <w:sz w:val="22"/>
                <w:szCs w:val="22"/>
                <w:highlight w:val="none"/>
                <w:u w:val="none"/>
                <w:lang w:val="en-US" w:eastAsia="zh-CN"/>
              </w:rPr>
              <w:t>5</w:t>
            </w:r>
            <w:r>
              <w:rPr>
                <w:rFonts w:hint="default" w:ascii="Times New Roman" w:hAnsi="Times New Roman" w:eastAsia="楷体" w:cs="Times New Roman"/>
                <w:i w:val="0"/>
                <w:iCs w:val="0"/>
                <w:color w:val="000000"/>
                <w:kern w:val="0"/>
                <w:sz w:val="22"/>
                <w:szCs w:val="22"/>
                <w:highlight w:val="none"/>
                <w:u w:val="none"/>
                <w:lang w:val="en-US" w:eastAsia="zh-CN"/>
              </w:rPr>
              <w:t>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工商管理类、体育学类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具有2年及以上体育场馆或体育赛事的市场工作经验。</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 w:cs="Times New Roman"/>
                <w:i w:val="0"/>
                <w:iCs w:val="0"/>
                <w:color w:val="auto"/>
                <w:kern w:val="0"/>
                <w:sz w:val="24"/>
                <w:szCs w:val="24"/>
                <w:highlight w:val="none"/>
                <w:u w:val="none"/>
                <w:lang w:val="en-US" w:eastAsia="zh-CN"/>
              </w:rPr>
            </w:pPr>
          </w:p>
        </w:tc>
      </w:tr>
      <w:tr>
        <w:tblPrEx>
          <w:tblCellMar>
            <w:top w:w="0" w:type="dxa"/>
            <w:left w:w="108" w:type="dxa"/>
            <w:bottom w:w="0" w:type="dxa"/>
            <w:right w:w="108" w:type="dxa"/>
          </w:tblCellMar>
        </w:tblPrEx>
        <w:trPr>
          <w:trHeight w:val="1701"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i w:val="0"/>
                <w:iCs w:val="0"/>
                <w:color w:val="000000"/>
                <w:kern w:val="0"/>
                <w:sz w:val="22"/>
                <w:szCs w:val="22"/>
                <w:highlight w:val="none"/>
                <w:u w:val="none"/>
                <w:lang w:val="en-US" w:eastAsia="zh-CN"/>
              </w:rPr>
              <w:t>08</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晋江市清新体育发展有限公司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晋江市足球训练中心赛事运营专员</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3</w:t>
            </w:r>
            <w:r>
              <w:rPr>
                <w:rFonts w:hint="eastAsia" w:ascii="Times New Roman" w:hAnsi="Times New Roman" w:eastAsia="楷体" w:cs="Times New Roman"/>
                <w:color w:val="000000"/>
                <w:kern w:val="0"/>
                <w:sz w:val="22"/>
                <w:szCs w:val="22"/>
                <w:lang w:val="en-US" w:eastAsia="zh-CN"/>
              </w:rPr>
              <w:t>5</w:t>
            </w:r>
            <w:r>
              <w:rPr>
                <w:rFonts w:hint="default" w:ascii="Times New Roman" w:hAnsi="Times New Roman" w:eastAsia="楷体" w:cs="Times New Roman"/>
                <w:color w:val="000000"/>
                <w:kern w:val="0"/>
                <w:sz w:val="22"/>
                <w:szCs w:val="22"/>
              </w:rPr>
              <w:t>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体育学类、教育学类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具</w:t>
            </w:r>
            <w:r>
              <w:rPr>
                <w:rFonts w:hint="default" w:ascii="Times New Roman" w:hAnsi="Times New Roman" w:eastAsia="楷体" w:cs="Times New Roman"/>
                <w:color w:val="auto"/>
                <w:kern w:val="0"/>
                <w:sz w:val="22"/>
                <w:szCs w:val="22"/>
              </w:rPr>
              <w:t>有</w:t>
            </w:r>
            <w:r>
              <w:rPr>
                <w:rFonts w:hint="default" w:ascii="Times New Roman" w:hAnsi="Times New Roman" w:eastAsia="楷体" w:cs="Times New Roman"/>
                <w:color w:val="auto"/>
                <w:kern w:val="0"/>
                <w:sz w:val="22"/>
                <w:szCs w:val="22"/>
                <w:lang w:val="en-US" w:eastAsia="zh-CN"/>
              </w:rPr>
              <w:t>2</w:t>
            </w:r>
            <w:r>
              <w:rPr>
                <w:rFonts w:hint="default" w:ascii="Times New Roman" w:hAnsi="Times New Roman" w:eastAsia="楷体" w:cs="Times New Roman"/>
                <w:color w:val="auto"/>
                <w:kern w:val="0"/>
                <w:sz w:val="22"/>
                <w:szCs w:val="22"/>
              </w:rPr>
              <w:t>年及</w:t>
            </w:r>
            <w:r>
              <w:rPr>
                <w:rFonts w:hint="default" w:ascii="Times New Roman" w:hAnsi="Times New Roman" w:eastAsia="楷体" w:cs="Times New Roman"/>
                <w:color w:val="000000"/>
                <w:kern w:val="0"/>
                <w:sz w:val="22"/>
                <w:szCs w:val="22"/>
              </w:rPr>
              <w:t xml:space="preserve">以上体育赛事组织执行、体育培训或体育教学等工作经验。                                                            </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color w:val="auto"/>
                <w:kern w:val="0"/>
                <w:sz w:val="24"/>
                <w:szCs w:val="24"/>
                <w:lang w:val="en-US" w:eastAsia="zh-CN" w:bidi="ar-SA"/>
              </w:rPr>
            </w:pPr>
          </w:p>
        </w:tc>
      </w:tr>
      <w:tr>
        <w:tblPrEx>
          <w:tblCellMar>
            <w:top w:w="0" w:type="dxa"/>
            <w:left w:w="108" w:type="dxa"/>
            <w:bottom w:w="0" w:type="dxa"/>
            <w:right w:w="108" w:type="dxa"/>
          </w:tblCellMar>
        </w:tblPrEx>
        <w:trPr>
          <w:trHeight w:val="1701"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09</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晋江新丝路文旅实业有限公司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总账会计</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35周岁及以下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会计与审计类、财政金融类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1、持有中级会计师及以上职称；</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2、具有5年及以上财务会计相关工作经验。</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持有注册会计师资格或具有高级会计师职称总成绩+4分。</w:t>
            </w:r>
          </w:p>
        </w:tc>
      </w:tr>
      <w:tr>
        <w:tblPrEx>
          <w:tblCellMar>
            <w:top w:w="0" w:type="dxa"/>
            <w:left w:w="108" w:type="dxa"/>
            <w:bottom w:w="0" w:type="dxa"/>
            <w:right w:w="108" w:type="dxa"/>
          </w:tblCellMar>
        </w:tblPrEx>
        <w:trPr>
          <w:trHeight w:val="1701"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color w:val="000000"/>
                <w:kern w:val="0"/>
                <w:sz w:val="22"/>
                <w:szCs w:val="22"/>
                <w:lang w:val="en-US" w:eastAsia="zh-CN"/>
              </w:rPr>
              <w:t>10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晋江新丝路文旅实业有限公司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税务会计</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35周岁及以下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会计与审计类、财政金融类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auto"/>
                <w:kern w:val="0"/>
                <w:sz w:val="22"/>
                <w:szCs w:val="22"/>
                <w:highlight w:val="none"/>
                <w:u w:val="none"/>
                <w:lang w:val="en-US" w:eastAsia="zh-CN"/>
              </w:rPr>
              <w:t>1、持有初级会计师及以上职称；</w:t>
            </w:r>
            <w:r>
              <w:rPr>
                <w:rFonts w:hint="default" w:ascii="Times New Roman" w:hAnsi="Times New Roman" w:eastAsia="楷体" w:cs="Times New Roman"/>
                <w:i w:val="0"/>
                <w:iCs w:val="0"/>
                <w:color w:val="auto"/>
                <w:kern w:val="0"/>
                <w:sz w:val="22"/>
                <w:szCs w:val="22"/>
                <w:highlight w:val="none"/>
                <w:u w:val="none"/>
                <w:lang w:val="en-US" w:eastAsia="zh-CN"/>
              </w:rPr>
              <w:br w:type="textWrapping"/>
            </w:r>
            <w:r>
              <w:rPr>
                <w:rFonts w:hint="default" w:ascii="Times New Roman" w:hAnsi="Times New Roman" w:eastAsia="楷体" w:cs="Times New Roman"/>
                <w:i w:val="0"/>
                <w:iCs w:val="0"/>
                <w:color w:val="auto"/>
                <w:kern w:val="0"/>
                <w:sz w:val="22"/>
                <w:szCs w:val="22"/>
                <w:highlight w:val="none"/>
                <w:u w:val="none"/>
                <w:lang w:val="en-US" w:eastAsia="zh-CN"/>
              </w:rPr>
              <w:t>2、具有3年及以上房地产税务管理相关工作经验。</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auto"/>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i w:val="0"/>
                <w:iCs w:val="0"/>
                <w:color w:val="auto"/>
                <w:kern w:val="0"/>
                <w:sz w:val="24"/>
                <w:szCs w:val="24"/>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具有中级会计师职称总成绩+2分；持有注册会计师资格或具有高级会计师职称总成绩+4分。</w:t>
            </w:r>
          </w:p>
        </w:tc>
      </w:tr>
      <w:tr>
        <w:tblPrEx>
          <w:tblCellMar>
            <w:top w:w="0" w:type="dxa"/>
            <w:left w:w="108" w:type="dxa"/>
            <w:bottom w:w="0" w:type="dxa"/>
            <w:right w:w="108" w:type="dxa"/>
          </w:tblCellMar>
        </w:tblPrEx>
        <w:trPr>
          <w:trHeight w:val="2341"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晋江新丝路文旅实业有限公司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出纳</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35周岁及以下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会计与审计类、财政金融类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rPr>
              <w:t>1、具有3年及以上财务会计相关工作经验；</w:t>
            </w:r>
          </w:p>
          <w:p>
            <w:pPr>
              <w:spacing w:line="260" w:lineRule="exact"/>
              <w:textAlignment w:val="center"/>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rPr>
              <w:t>2、了解国家财经政策和会计、税务法规，熟悉银行结算业务；</w:t>
            </w:r>
          </w:p>
          <w:p>
            <w:pPr>
              <w:spacing w:line="260" w:lineRule="exact"/>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3、熟练使用各种财务工具和办公软件，且电脑操作娴熟，有较强的责任心。</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2176"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晋江新丝路文旅实业有限公司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土建造价工程师</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40周岁及以下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土木工程、工程造价</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1、具有5年及以上房地产工程造价相关工作经验，且有2年及以上地产类企业土建工程造价工作经验；</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2、熟练掌握工程成本管理/造价软件。</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楷体" w:cs="Times New Roman"/>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90"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13</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晋江晋文坊商业管理有限公司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副总经理</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40周岁及以下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1、具有10年及以上商业文旅项目工作经验，其中2年以上高层管理岗位经验（总监或总助及以上职位）；</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2、负责过至少2个商业或文旅项目招商运营管理工作经验；</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3、具有编制项目运营标准化文件、各阶段工作计划、项目成本目标和资金预算的能力及统筹项目各部门达成业绩指标能力。</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楷体" w:cs="Times New Roman"/>
                <w:i w:val="0"/>
                <w:iCs w:val="0"/>
                <w:color w:val="auto"/>
                <w:kern w:val="0"/>
                <w:sz w:val="24"/>
                <w:szCs w:val="24"/>
                <w:highlight w:val="none"/>
                <w:u w:val="none"/>
                <w:lang w:val="en-US" w:eastAsia="zh-CN"/>
              </w:rPr>
            </w:pPr>
          </w:p>
        </w:tc>
      </w:tr>
      <w:tr>
        <w:tblPrEx>
          <w:tblCellMar>
            <w:top w:w="0" w:type="dxa"/>
            <w:left w:w="108" w:type="dxa"/>
            <w:bottom w:w="0" w:type="dxa"/>
            <w:right w:w="108" w:type="dxa"/>
          </w:tblCellMar>
        </w:tblPrEx>
        <w:trPr>
          <w:trHeight w:val="2369"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color w:val="000000"/>
                <w:kern w:val="0"/>
                <w:sz w:val="22"/>
                <w:szCs w:val="22"/>
                <w:lang w:val="en-US" w:eastAsia="zh-CN"/>
              </w:rPr>
              <w:t>14</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晋江市清新文旅产业运营管理有限公司</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讲解专员</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2</w:t>
            </w:r>
          </w:p>
        </w:tc>
        <w:tc>
          <w:tcPr>
            <w:tcW w:w="2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不限</w:t>
            </w:r>
          </w:p>
        </w:tc>
        <w:tc>
          <w:tcPr>
            <w:tcW w:w="2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3</w:t>
            </w:r>
            <w:r>
              <w:rPr>
                <w:rFonts w:hint="eastAsia" w:ascii="Times New Roman" w:hAnsi="Times New Roman" w:eastAsia="楷体" w:cs="Times New Roman"/>
                <w:i w:val="0"/>
                <w:iCs w:val="0"/>
                <w:color w:val="auto"/>
                <w:kern w:val="0"/>
                <w:sz w:val="22"/>
                <w:szCs w:val="22"/>
                <w:highlight w:val="none"/>
                <w:u w:val="none"/>
                <w:lang w:val="en-US" w:eastAsia="zh-CN"/>
              </w:rPr>
              <w:t>5</w:t>
            </w:r>
            <w:r>
              <w:rPr>
                <w:rFonts w:hint="default" w:ascii="Times New Roman" w:hAnsi="Times New Roman" w:eastAsia="楷体" w:cs="Times New Roman"/>
                <w:i w:val="0"/>
                <w:iCs w:val="0"/>
                <w:color w:val="auto"/>
                <w:kern w:val="0"/>
                <w:sz w:val="22"/>
                <w:szCs w:val="22"/>
                <w:highlight w:val="none"/>
                <w:u w:val="none"/>
                <w:lang w:val="en-US" w:eastAsia="zh-CN"/>
              </w:rPr>
              <w:t>周岁及以下</w:t>
            </w: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本科及以上</w:t>
            </w:r>
          </w:p>
        </w:tc>
        <w:tc>
          <w:tcPr>
            <w:tcW w:w="2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学士及以上</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不限</w:t>
            </w:r>
          </w:p>
        </w:tc>
        <w:tc>
          <w:tcPr>
            <w:tcW w:w="12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 xml:space="preserve">1、持有普通话二级甲等及以上证书; </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 xml:space="preserve">2、具备2年及以上景区、展馆、博物馆等文化场馆讲解接待，或学校、 语言培训机构教学工作经验; </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3、具备较强的语言表达、沟通能力，能独立处理突发事件的能力。</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楷体" w:cs="Times New Roman"/>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1874"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bidi="ar-SA"/>
              </w:rPr>
            </w:pPr>
            <w:r>
              <w:rPr>
                <w:rFonts w:hint="default" w:ascii="Times New Roman" w:hAnsi="Times New Roman" w:eastAsia="楷体" w:cs="Times New Roman"/>
                <w:i w:val="0"/>
                <w:iCs w:val="0"/>
                <w:color w:val="000000"/>
                <w:kern w:val="0"/>
                <w:sz w:val="22"/>
                <w:szCs w:val="22"/>
                <w:highlight w:val="none"/>
                <w:u w:val="none"/>
                <w:lang w:val="en-US" w:eastAsia="zh-CN"/>
              </w:rPr>
              <w:t>15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晋江市清新文旅产业运营管理有限公司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会计</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35周岁及以下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会计与审计类、财政金融类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1、具有3年及以上财务相关工作经验；</w:t>
            </w:r>
            <w:r>
              <w:rPr>
                <w:rFonts w:hint="default" w:ascii="Times New Roman" w:hAnsi="Times New Roman" w:eastAsia="楷体" w:cs="Times New Roman"/>
                <w:i w:val="0"/>
                <w:iCs w:val="0"/>
                <w:color w:val="auto"/>
                <w:kern w:val="0"/>
                <w:sz w:val="22"/>
                <w:szCs w:val="22"/>
                <w:highlight w:val="none"/>
                <w:u w:val="none"/>
                <w:lang w:val="en-US" w:eastAsia="zh-CN"/>
              </w:rPr>
              <w:br w:type="textWrapping"/>
            </w:r>
            <w:r>
              <w:rPr>
                <w:rFonts w:hint="default" w:ascii="Times New Roman" w:hAnsi="Times New Roman" w:eastAsia="楷体" w:cs="Times New Roman"/>
                <w:i w:val="0"/>
                <w:iCs w:val="0"/>
                <w:color w:val="auto"/>
                <w:kern w:val="0"/>
                <w:sz w:val="22"/>
                <w:szCs w:val="22"/>
                <w:highlight w:val="none"/>
                <w:u w:val="none"/>
                <w:lang w:val="en-US" w:eastAsia="zh-CN"/>
              </w:rPr>
              <w:t>2、持有初级会计师及以上职称。</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具有中级会计师职称总成绩+2分；持有注册会计师资格或具有高级会计师职称总成绩+4分。</w:t>
            </w:r>
          </w:p>
        </w:tc>
      </w:tr>
      <w:tr>
        <w:tblPrEx>
          <w:tblCellMar>
            <w:top w:w="0" w:type="dxa"/>
            <w:left w:w="108" w:type="dxa"/>
            <w:bottom w:w="0" w:type="dxa"/>
            <w:right w:w="108" w:type="dxa"/>
          </w:tblCellMar>
        </w:tblPrEx>
        <w:trPr>
          <w:trHeight w:val="1874"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bidi="ar-SA"/>
              </w:rPr>
            </w:pPr>
            <w:r>
              <w:rPr>
                <w:rFonts w:hint="default" w:ascii="Times New Roman" w:hAnsi="Times New Roman" w:eastAsia="楷体" w:cs="Times New Roman"/>
                <w:i w:val="0"/>
                <w:iCs w:val="0"/>
                <w:color w:val="000000"/>
                <w:kern w:val="0"/>
                <w:sz w:val="22"/>
                <w:szCs w:val="22"/>
                <w:highlight w:val="none"/>
                <w:u w:val="none"/>
                <w:lang w:val="en-US" w:eastAsia="zh-CN"/>
              </w:rPr>
              <w:t>16</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晋江市清新文旅产业运营管理有限公司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旅行社项目主管</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40周岁及以下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1、具有5年及以上旅游行业工作经验，其中旅行社部门负责人岗位满1年；</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2、熟悉旅游产品、特色旅游产品等的开发与线路产品设计与行程安排。</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楷体" w:cs="Times New Roman"/>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3866"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lang w:val="en-US" w:eastAsia="zh-CN" w:bidi="ar-SA"/>
              </w:rPr>
            </w:pPr>
            <w:r>
              <w:rPr>
                <w:rFonts w:hint="default" w:ascii="Times New Roman" w:hAnsi="Times New Roman" w:eastAsia="楷体" w:cs="Times New Roman"/>
                <w:i w:val="0"/>
                <w:iCs w:val="0"/>
                <w:color w:val="000000"/>
                <w:kern w:val="0"/>
                <w:sz w:val="22"/>
                <w:szCs w:val="22"/>
                <w:highlight w:val="none"/>
                <w:u w:val="none"/>
                <w:lang w:val="en-US" w:eastAsia="zh-CN"/>
              </w:rPr>
              <w:t>17</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晋江市清新文旅产业运营管理有限公司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物业主管</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35周岁及以下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土建类、机械类、能源动力类、电气自动化类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auto"/>
                <w:kern w:val="0"/>
                <w:sz w:val="22"/>
                <w:szCs w:val="22"/>
                <w:highlight w:val="none"/>
                <w:u w:val="none"/>
                <w:lang w:val="en-US" w:eastAsia="zh-CN"/>
              </w:rPr>
              <w:t>1、有3年及以上物业工程管理相关工作经验；</w:t>
            </w:r>
            <w:r>
              <w:rPr>
                <w:rFonts w:hint="default" w:ascii="Times New Roman" w:hAnsi="Times New Roman" w:eastAsia="楷体" w:cs="Times New Roman"/>
                <w:i w:val="0"/>
                <w:iCs w:val="0"/>
                <w:color w:val="auto"/>
                <w:kern w:val="0"/>
                <w:sz w:val="22"/>
                <w:szCs w:val="22"/>
                <w:highlight w:val="none"/>
                <w:u w:val="none"/>
                <w:lang w:val="en-US" w:eastAsia="zh-CN"/>
              </w:rPr>
              <w:br w:type="textWrapping"/>
            </w:r>
            <w:r>
              <w:rPr>
                <w:rFonts w:hint="default" w:ascii="Times New Roman" w:hAnsi="Times New Roman" w:eastAsia="楷体" w:cs="Times New Roman"/>
                <w:i w:val="0"/>
                <w:iCs w:val="0"/>
                <w:color w:val="auto"/>
                <w:kern w:val="0"/>
                <w:sz w:val="22"/>
                <w:szCs w:val="22"/>
                <w:highlight w:val="none"/>
                <w:u w:val="none"/>
                <w:lang w:val="en-US" w:eastAsia="zh-CN"/>
              </w:rPr>
              <w:t>2、能独立处理工程部突发事件及部门管理工作；</w:t>
            </w:r>
            <w:r>
              <w:rPr>
                <w:rFonts w:hint="default" w:ascii="Times New Roman" w:hAnsi="Times New Roman" w:eastAsia="楷体" w:cs="Times New Roman"/>
                <w:i w:val="0"/>
                <w:iCs w:val="0"/>
                <w:color w:val="auto"/>
                <w:kern w:val="0"/>
                <w:sz w:val="22"/>
                <w:szCs w:val="22"/>
                <w:highlight w:val="none"/>
                <w:u w:val="none"/>
                <w:lang w:val="en-US" w:eastAsia="zh-CN"/>
              </w:rPr>
              <w:br w:type="textWrapping"/>
            </w:r>
            <w:r>
              <w:rPr>
                <w:rFonts w:hint="default" w:ascii="Times New Roman" w:hAnsi="Times New Roman" w:eastAsia="楷体" w:cs="Times New Roman"/>
                <w:i w:val="0"/>
                <w:iCs w:val="0"/>
                <w:color w:val="auto"/>
                <w:kern w:val="0"/>
                <w:sz w:val="22"/>
                <w:szCs w:val="22"/>
                <w:highlight w:val="none"/>
                <w:u w:val="none"/>
                <w:lang w:val="en-US" w:eastAsia="zh-CN"/>
              </w:rPr>
              <w:t>3、有团队合作精神，抗压能力强，工作责任心强，具有良好的沟通能力；</w:t>
            </w:r>
            <w:r>
              <w:rPr>
                <w:rFonts w:hint="default" w:ascii="Times New Roman" w:hAnsi="Times New Roman" w:eastAsia="楷体" w:cs="Times New Roman"/>
                <w:i w:val="0"/>
                <w:iCs w:val="0"/>
                <w:color w:val="auto"/>
                <w:kern w:val="0"/>
                <w:sz w:val="22"/>
                <w:szCs w:val="22"/>
                <w:highlight w:val="none"/>
                <w:u w:val="none"/>
                <w:lang w:val="en-US" w:eastAsia="zh-CN"/>
              </w:rPr>
              <w:br w:type="textWrapping"/>
            </w:r>
            <w:r>
              <w:rPr>
                <w:rFonts w:hint="default" w:ascii="Times New Roman" w:hAnsi="Times New Roman" w:eastAsia="楷体" w:cs="Times New Roman"/>
                <w:i w:val="0"/>
                <w:iCs w:val="0"/>
                <w:color w:val="auto"/>
                <w:kern w:val="0"/>
                <w:sz w:val="22"/>
                <w:szCs w:val="22"/>
                <w:highlight w:val="none"/>
                <w:u w:val="none"/>
                <w:lang w:val="en-US" w:eastAsia="zh-CN"/>
              </w:rPr>
              <w:t>4、熟练操作日常办公软件。</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auto"/>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楷体" w:cs="Times New Roman"/>
                <w:i w:val="0"/>
                <w:iCs w:val="0"/>
                <w:color w:val="auto"/>
                <w:kern w:val="0"/>
                <w:sz w:val="22"/>
                <w:szCs w:val="22"/>
                <w:highlight w:val="none"/>
                <w:u w:val="none"/>
                <w:lang w:val="en-US" w:eastAsia="zh-CN"/>
              </w:rPr>
            </w:pPr>
            <w:r>
              <w:rPr>
                <w:rFonts w:hint="default" w:ascii="Times New Roman" w:hAnsi="Times New Roman" w:eastAsia="楷体" w:cs="Times New Roman"/>
                <w:i w:val="0"/>
                <w:iCs w:val="0"/>
                <w:color w:val="auto"/>
                <w:kern w:val="0"/>
                <w:sz w:val="22"/>
                <w:szCs w:val="22"/>
                <w:highlight w:val="none"/>
                <w:u w:val="none"/>
                <w:lang w:val="en-US" w:eastAsia="zh-CN"/>
              </w:rPr>
              <w:t>持有低压或高压电工证总成绩+2分。</w:t>
            </w:r>
          </w:p>
        </w:tc>
      </w:tr>
      <w:tr>
        <w:tblPrEx>
          <w:tblCellMar>
            <w:top w:w="0" w:type="dxa"/>
            <w:left w:w="108" w:type="dxa"/>
            <w:bottom w:w="0" w:type="dxa"/>
            <w:right w:w="108" w:type="dxa"/>
          </w:tblCellMar>
        </w:tblPrEx>
        <w:trPr>
          <w:trHeight w:val="2380" w:hRule="atLeas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bidi="ar-SA"/>
              </w:rPr>
            </w:pPr>
            <w:r>
              <w:rPr>
                <w:rFonts w:hint="default" w:ascii="Times New Roman" w:hAnsi="Times New Roman" w:eastAsia="楷体" w:cs="Times New Roman"/>
                <w:color w:val="000000"/>
                <w:kern w:val="0"/>
                <w:sz w:val="22"/>
                <w:szCs w:val="22"/>
                <w:lang w:val="en-US" w:eastAsia="zh-CN"/>
              </w:rPr>
              <w:t>18</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福建省晋江邻里乐享产业发展有限公司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市场拓展专员</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3</w:t>
            </w:r>
            <w:r>
              <w:rPr>
                <w:rFonts w:hint="eastAsia" w:ascii="Times New Roman" w:hAnsi="Times New Roman" w:eastAsia="楷体" w:cs="Times New Roman"/>
                <w:i w:val="0"/>
                <w:iCs w:val="0"/>
                <w:color w:val="000000"/>
                <w:kern w:val="0"/>
                <w:sz w:val="22"/>
                <w:szCs w:val="22"/>
                <w:highlight w:val="none"/>
                <w:u w:val="none"/>
                <w:lang w:val="en-US" w:eastAsia="zh-CN"/>
              </w:rPr>
              <w:t>5</w:t>
            </w:r>
            <w:r>
              <w:rPr>
                <w:rFonts w:hint="default" w:ascii="Times New Roman" w:hAnsi="Times New Roman" w:eastAsia="楷体" w:cs="Times New Roman"/>
                <w:i w:val="0"/>
                <w:iCs w:val="0"/>
                <w:color w:val="000000"/>
                <w:kern w:val="0"/>
                <w:sz w:val="22"/>
                <w:szCs w:val="22"/>
                <w:highlight w:val="none"/>
                <w:u w:val="none"/>
                <w:lang w:val="en-US" w:eastAsia="zh-CN"/>
              </w:rPr>
              <w:t>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经济学、管理学大类、计算机软件技术类</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1、具有2年及以上招商运营工作经验；</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2、思维活跃，具备敏锐的市场触觉，有全局意识，富有创造力并有强烈的责任感；</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3、具有良好的统筹、学习能力，表达能力强，具备优秀的团队精神。</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2476"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i w:val="0"/>
                <w:iCs w:val="0"/>
                <w:color w:val="000000"/>
                <w:kern w:val="0"/>
                <w:sz w:val="22"/>
                <w:szCs w:val="22"/>
                <w:highlight w:val="none"/>
                <w:u w:val="none"/>
                <w:lang w:val="en-US" w:eastAsia="zh-CN"/>
              </w:rPr>
              <w:t>19</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晋江新丝路康养产业有限公司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财务</w:t>
            </w:r>
            <w:r>
              <w:rPr>
                <w:rFonts w:hint="default" w:ascii="Times New Roman" w:hAnsi="Times New Roman" w:eastAsia="楷体" w:cs="Times New Roman"/>
                <w:color w:val="auto"/>
                <w:kern w:val="0"/>
                <w:sz w:val="22"/>
                <w:szCs w:val="22"/>
                <w:lang w:val="en-US" w:eastAsia="zh-CN"/>
              </w:rPr>
              <w:t>专员</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35周岁及以下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会计与审计类、财政金融类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rPr>
              <w:t>1、持有中级会计师及以上职称；</w:t>
            </w:r>
          </w:p>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rPr>
              <w:t>2、具有</w:t>
            </w:r>
            <w:r>
              <w:rPr>
                <w:rFonts w:hint="default" w:ascii="Times New Roman" w:hAnsi="Times New Roman" w:eastAsia="楷体" w:cs="Times New Roman"/>
                <w:color w:val="auto"/>
                <w:kern w:val="0"/>
                <w:sz w:val="22"/>
                <w:szCs w:val="22"/>
                <w:lang w:val="en-US" w:eastAsia="zh-CN"/>
              </w:rPr>
              <w:t>3</w:t>
            </w:r>
            <w:r>
              <w:rPr>
                <w:rFonts w:hint="default" w:ascii="Times New Roman" w:hAnsi="Times New Roman" w:eastAsia="楷体" w:cs="Times New Roman"/>
                <w:color w:val="auto"/>
                <w:kern w:val="0"/>
                <w:sz w:val="22"/>
                <w:szCs w:val="22"/>
              </w:rPr>
              <w:t>年以上财务相关工作经验；</w:t>
            </w:r>
          </w:p>
          <w:p>
            <w:pPr>
              <w:spacing w:line="260" w:lineRule="exact"/>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3、具有丰富的财务管理、税务管理、成本控制、企业预决算经验，熟悉核算、分析、税收、预算等业务，掌握财务信息化知识。</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i w:val="0"/>
                <w:iCs w:val="0"/>
                <w:color w:val="auto"/>
                <w:kern w:val="0"/>
                <w:sz w:val="22"/>
                <w:szCs w:val="22"/>
                <w:highlight w:val="none"/>
                <w:u w:val="none"/>
                <w:lang w:val="en-US" w:eastAsia="zh-CN"/>
              </w:rPr>
              <w:t>持有注册会计师资格或具有高级会计师职称总成绩+4分。</w:t>
            </w:r>
          </w:p>
        </w:tc>
      </w:tr>
      <w:tr>
        <w:tblPrEx>
          <w:tblCellMar>
            <w:top w:w="0" w:type="dxa"/>
            <w:left w:w="108" w:type="dxa"/>
            <w:bottom w:w="0" w:type="dxa"/>
            <w:right w:w="108" w:type="dxa"/>
          </w:tblCellMar>
        </w:tblPrEx>
        <w:trPr>
          <w:trHeight w:val="4171"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highlight w:val="none"/>
                <w:lang w:val="en-US" w:eastAsia="zh-CN" w:bidi="ar-SA"/>
              </w:rPr>
            </w:pPr>
            <w:r>
              <w:rPr>
                <w:rFonts w:hint="default" w:ascii="Times New Roman" w:hAnsi="Times New Roman" w:eastAsia="楷体" w:cs="Times New Roman"/>
                <w:color w:val="000000"/>
                <w:kern w:val="0"/>
                <w:sz w:val="22"/>
                <w:szCs w:val="22"/>
                <w:lang w:val="en-US" w:eastAsia="zh-CN"/>
              </w:rPr>
              <w:t>20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晋江新丝路康养产业有限公司</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工程专员</w:t>
            </w:r>
          </w:p>
        </w:tc>
        <w:tc>
          <w:tcPr>
            <w:tcW w:w="28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1</w:t>
            </w:r>
          </w:p>
        </w:tc>
        <w:tc>
          <w:tcPr>
            <w:tcW w:w="28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不限</w:t>
            </w:r>
          </w:p>
        </w:tc>
        <w:tc>
          <w:tcPr>
            <w:tcW w:w="26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35周岁及以下</w:t>
            </w:r>
          </w:p>
        </w:tc>
        <w:tc>
          <w:tcPr>
            <w:tcW w:w="28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本科及以上</w:t>
            </w:r>
          </w:p>
        </w:tc>
        <w:tc>
          <w:tcPr>
            <w:tcW w:w="25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学士及以上</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建筑水电技术、工程管理、建设工程管理、建筑电气工程技术、给排水科学与工程、建筑电气与智能化、建筑环境与设备工程、给（水）排水工程</w:t>
            </w:r>
          </w:p>
        </w:tc>
        <w:tc>
          <w:tcPr>
            <w:tcW w:w="120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000000"/>
                <w:kern w:val="0"/>
                <w:sz w:val="22"/>
                <w:szCs w:val="22"/>
                <w:highlight w:val="none"/>
                <w:u w:val="none"/>
                <w:lang w:val="en-US" w:eastAsia="zh-CN"/>
              </w:rPr>
            </w:pPr>
            <w:r>
              <w:rPr>
                <w:rFonts w:hint="default" w:ascii="Times New Roman" w:hAnsi="Times New Roman" w:eastAsia="楷体" w:cs="Times New Roman"/>
                <w:i w:val="0"/>
                <w:iCs w:val="0"/>
                <w:color w:val="000000"/>
                <w:kern w:val="0"/>
                <w:sz w:val="22"/>
                <w:szCs w:val="22"/>
                <w:highlight w:val="none"/>
                <w:u w:val="none"/>
                <w:lang w:val="en-US" w:eastAsia="zh-CN"/>
              </w:rPr>
              <w:t>1、具有3年及以上建筑工程工作经验；</w:t>
            </w:r>
          </w:p>
          <w:p>
            <w:pPr>
              <w:keepNext w:val="0"/>
              <w:keepLines w:val="0"/>
              <w:widowControl/>
              <w:suppressLineNumbers w:val="0"/>
              <w:jc w:val="left"/>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2、具有良好的沟通协调与组织能力，有较强的责任心与执行力，具备良好的团队合作意识；</w:t>
            </w:r>
            <w:r>
              <w:rPr>
                <w:rFonts w:hint="default" w:ascii="Times New Roman" w:hAnsi="Times New Roman" w:eastAsia="楷体" w:cs="Times New Roman"/>
                <w:i w:val="0"/>
                <w:iCs w:val="0"/>
                <w:color w:val="000000"/>
                <w:kern w:val="0"/>
                <w:sz w:val="22"/>
                <w:szCs w:val="22"/>
                <w:highlight w:val="none"/>
                <w:u w:val="none"/>
                <w:lang w:val="en-US" w:eastAsia="zh-CN"/>
              </w:rPr>
              <w:br w:type="textWrapping"/>
            </w:r>
            <w:r>
              <w:rPr>
                <w:rFonts w:hint="default" w:ascii="Times New Roman" w:hAnsi="Times New Roman" w:eastAsia="楷体" w:cs="Times New Roman"/>
                <w:i w:val="0"/>
                <w:iCs w:val="0"/>
                <w:color w:val="000000"/>
                <w:kern w:val="0"/>
                <w:sz w:val="22"/>
                <w:szCs w:val="22"/>
                <w:highlight w:val="none"/>
                <w:u w:val="none"/>
                <w:lang w:val="en-US" w:eastAsia="zh-CN"/>
              </w:rPr>
              <w:t>3、具备保障基础设备设施的巡查、维修、抢修、维护和管理，以及其他常规维修管护能力。</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kern w:val="0"/>
                <w:sz w:val="24"/>
                <w:szCs w:val="24"/>
                <w:highlight w:val="none"/>
              </w:rPr>
            </w:pPr>
            <w:r>
              <w:rPr>
                <w:rFonts w:hint="default" w:ascii="Times New Roman" w:hAnsi="Times New Roman" w:eastAsia="楷体" w:cs="Times New Roman"/>
                <w:i w:val="0"/>
                <w:iCs w:val="0"/>
                <w:color w:val="000000"/>
                <w:kern w:val="0"/>
                <w:sz w:val="22"/>
                <w:szCs w:val="22"/>
                <w:highlight w:val="none"/>
                <w:u w:val="none"/>
                <w:lang w:val="en-US" w:eastAsia="zh-CN"/>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楷体" w:cs="Times New Roman"/>
                <w:i w:val="0"/>
                <w:iCs w:val="0"/>
                <w:color w:val="auto"/>
                <w:kern w:val="0"/>
                <w:sz w:val="24"/>
                <w:szCs w:val="24"/>
                <w:highlight w:val="none"/>
                <w:u w:val="none"/>
                <w:lang w:val="en-US" w:eastAsia="zh-CN"/>
              </w:rPr>
            </w:pPr>
          </w:p>
        </w:tc>
      </w:tr>
      <w:tr>
        <w:tblPrEx>
          <w:tblCellMar>
            <w:top w:w="0" w:type="dxa"/>
            <w:left w:w="108" w:type="dxa"/>
            <w:bottom w:w="0" w:type="dxa"/>
            <w:right w:w="108" w:type="dxa"/>
          </w:tblCellMar>
        </w:tblPrEx>
        <w:trPr>
          <w:trHeight w:val="4046"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lang w:val="en-US" w:eastAsia="zh-CN"/>
              </w:rPr>
              <w:t>21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晋江市梧林古村落保护开发建设有限公司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财务</w:t>
            </w:r>
            <w:r>
              <w:rPr>
                <w:rFonts w:hint="default" w:ascii="Times New Roman" w:hAnsi="Times New Roman" w:eastAsia="楷体" w:cs="Times New Roman"/>
                <w:color w:val="auto"/>
                <w:kern w:val="0"/>
                <w:sz w:val="22"/>
                <w:szCs w:val="22"/>
                <w:lang w:val="en-US" w:eastAsia="zh-CN"/>
              </w:rPr>
              <w:t>主管</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35周岁及以下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会计与审计类、财政金融类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rPr>
              <w:t>1、持有中级会计师及以上职称；</w:t>
            </w:r>
          </w:p>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rPr>
              <w:t>2、5年及以上财务工作经验；</w:t>
            </w:r>
          </w:p>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rPr>
              <w:t>3、熟悉《企业会计准则》有关规定，能熟练编制合并报表，精通国家各项相关财务、税务、审计法规和政策；</w:t>
            </w:r>
          </w:p>
          <w:p>
            <w:pPr>
              <w:spacing w:line="260" w:lineRule="exact"/>
              <w:textAlignment w:val="center"/>
              <w:rPr>
                <w:rFonts w:hint="default" w:ascii="Times New Roman" w:hAnsi="Times New Roman" w:eastAsia="楷体" w:cs="Times New Roman"/>
                <w:color w:val="auto"/>
                <w:kern w:val="0"/>
                <w:sz w:val="22"/>
                <w:szCs w:val="22"/>
              </w:rPr>
            </w:pPr>
            <w:r>
              <w:rPr>
                <w:rFonts w:hint="default" w:ascii="Times New Roman" w:hAnsi="Times New Roman" w:eastAsia="楷体" w:cs="Times New Roman"/>
                <w:color w:val="auto"/>
                <w:kern w:val="0"/>
                <w:sz w:val="22"/>
                <w:szCs w:val="22"/>
              </w:rPr>
              <w:t>4、熟练操作企业成本管理体系和全面预算管理体系；</w:t>
            </w:r>
          </w:p>
          <w:p>
            <w:pPr>
              <w:spacing w:line="260" w:lineRule="exact"/>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5、具备良好的职业道德，严谨的工作作风及高度的事业心和责任心，认同企业文化，敢于承担责任，执行力强；具有良好的组织、协调能力，善于沟通，能够适应高强度工作。</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color w:val="auto"/>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color w:val="auto"/>
                <w:kern w:val="0"/>
                <w:sz w:val="24"/>
                <w:szCs w:val="24"/>
                <w:lang w:val="en-US" w:eastAsia="zh-CN" w:bidi="ar-SA"/>
              </w:rPr>
            </w:pPr>
            <w:r>
              <w:rPr>
                <w:rFonts w:hint="default" w:ascii="Times New Roman" w:hAnsi="Times New Roman" w:eastAsia="楷体" w:cs="Times New Roman"/>
                <w:i w:val="0"/>
                <w:iCs w:val="0"/>
                <w:color w:val="auto"/>
                <w:kern w:val="0"/>
                <w:sz w:val="22"/>
                <w:szCs w:val="22"/>
                <w:highlight w:val="none"/>
                <w:u w:val="none"/>
                <w:lang w:val="en-US" w:eastAsia="zh-CN"/>
              </w:rPr>
              <w:t>持有注册会计师资格或具有高级会计师职称总成绩+4分。</w:t>
            </w:r>
          </w:p>
        </w:tc>
      </w:tr>
      <w:tr>
        <w:tblPrEx>
          <w:tblCellMar>
            <w:top w:w="0" w:type="dxa"/>
            <w:left w:w="108" w:type="dxa"/>
            <w:bottom w:w="0" w:type="dxa"/>
            <w:right w:w="108" w:type="dxa"/>
          </w:tblCellMar>
        </w:tblPrEx>
        <w:trPr>
          <w:trHeight w:val="2406"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lang w:val="en-US" w:eastAsia="zh-CN"/>
              </w:rPr>
              <w:t>22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晋江市梧林古村落保护开发建设有限公司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运营专员</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35周岁及以下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旅游餐饮类、经济贸易类、工商管理类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rPr>
              <w:t xml:space="preserve">1、有3年及以上星级酒店（连锁酒店）运营管理工作经验；                                     </w:t>
            </w:r>
          </w:p>
          <w:p>
            <w:pPr>
              <w:spacing w:line="260" w:lineRule="exact"/>
              <w:textAlignment w:val="center"/>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rPr>
              <w:t xml:space="preserve">2、具有较强的战略意识、市场研判、投资分析和风险管控能力； </w:t>
            </w:r>
          </w:p>
          <w:p>
            <w:pPr>
              <w:spacing w:line="260" w:lineRule="exact"/>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3、有较强的责任心、开拓创新意识、组织协调、沟通能力和文字表达能力。</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color w:val="auto"/>
                <w:kern w:val="0"/>
                <w:sz w:val="24"/>
                <w:szCs w:val="24"/>
                <w:lang w:val="en-US" w:eastAsia="zh-CN" w:bidi="ar-SA"/>
              </w:rPr>
            </w:pPr>
          </w:p>
        </w:tc>
      </w:tr>
      <w:tr>
        <w:tblPrEx>
          <w:tblCellMar>
            <w:top w:w="0" w:type="dxa"/>
            <w:left w:w="108" w:type="dxa"/>
            <w:bottom w:w="0" w:type="dxa"/>
            <w:right w:w="108" w:type="dxa"/>
          </w:tblCellMar>
        </w:tblPrEx>
        <w:trPr>
          <w:trHeight w:val="2306"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kern w:val="0"/>
                <w:sz w:val="24"/>
                <w:szCs w:val="24"/>
                <w:lang w:val="en-US" w:eastAsia="zh-CN" w:bidi="ar-SA"/>
              </w:rPr>
              <w:t>23</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晋江市梧林古村落保护开发建设有限公司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人力行政专员（兼党务工作）</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30周岁及以下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公共管理类、工商管理类、中国语言文学类、新闻传播学类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rPr>
              <w:t>1、中共党员（含预备党员）；</w:t>
            </w:r>
          </w:p>
          <w:p>
            <w:pPr>
              <w:spacing w:line="260" w:lineRule="exact"/>
              <w:textAlignment w:val="center"/>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lang w:val="en-US" w:eastAsia="zh-CN"/>
              </w:rPr>
              <w:t>2</w:t>
            </w:r>
            <w:r>
              <w:rPr>
                <w:rFonts w:hint="default" w:ascii="Times New Roman" w:hAnsi="Times New Roman" w:eastAsia="楷体" w:cs="Times New Roman"/>
                <w:color w:val="000000"/>
                <w:kern w:val="0"/>
                <w:sz w:val="22"/>
                <w:szCs w:val="22"/>
              </w:rPr>
              <w:t>、具有较强的公文写作能力、组织谋划能力、沟通协调能力和执行能力；</w:t>
            </w:r>
          </w:p>
          <w:p>
            <w:pPr>
              <w:spacing w:line="260" w:lineRule="exact"/>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lang w:val="en-US" w:eastAsia="zh-CN"/>
              </w:rPr>
              <w:t>3</w:t>
            </w:r>
            <w:r>
              <w:rPr>
                <w:rFonts w:hint="default" w:ascii="Times New Roman" w:hAnsi="Times New Roman" w:eastAsia="楷体" w:cs="Times New Roman"/>
                <w:color w:val="000000"/>
                <w:kern w:val="0"/>
                <w:sz w:val="22"/>
                <w:szCs w:val="22"/>
              </w:rPr>
              <w:t>、能承担行政、人事的各项工作职责，熟悉办公流程和设备使用。</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color w:val="auto"/>
                <w:kern w:val="0"/>
                <w:sz w:val="24"/>
                <w:szCs w:val="24"/>
                <w:lang w:val="en-US" w:eastAsia="zh-CN" w:bidi="ar-SA"/>
              </w:rPr>
            </w:pPr>
          </w:p>
        </w:tc>
      </w:tr>
      <w:tr>
        <w:tblPrEx>
          <w:tblCellMar>
            <w:top w:w="0" w:type="dxa"/>
            <w:left w:w="108" w:type="dxa"/>
            <w:bottom w:w="0" w:type="dxa"/>
            <w:right w:w="108" w:type="dxa"/>
          </w:tblCellMar>
        </w:tblPrEx>
        <w:trPr>
          <w:trHeight w:val="4486" w:hRule="exact"/>
          <w:jc w:val="center"/>
        </w:trPr>
        <w:tc>
          <w:tcPr>
            <w:tcW w:w="22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kern w:val="0"/>
                <w:sz w:val="24"/>
                <w:szCs w:val="24"/>
                <w:lang w:val="en-US" w:eastAsia="zh-CN" w:bidi="ar-SA"/>
              </w:rPr>
              <w:t>24</w:t>
            </w:r>
          </w:p>
        </w:tc>
        <w:tc>
          <w:tcPr>
            <w:tcW w:w="3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晋江市益农投资发展有限公司</w:t>
            </w:r>
          </w:p>
        </w:tc>
        <w:tc>
          <w:tcPr>
            <w:tcW w:w="31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运营主管</w:t>
            </w:r>
          </w:p>
        </w:tc>
        <w:tc>
          <w:tcPr>
            <w:tcW w:w="281"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1</w:t>
            </w:r>
          </w:p>
        </w:tc>
        <w:tc>
          <w:tcPr>
            <w:tcW w:w="28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不限</w:t>
            </w:r>
          </w:p>
        </w:tc>
        <w:tc>
          <w:tcPr>
            <w:tcW w:w="267"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40周岁及以下</w:t>
            </w:r>
          </w:p>
        </w:tc>
        <w:tc>
          <w:tcPr>
            <w:tcW w:w="282"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本科及以上</w:t>
            </w:r>
          </w:p>
        </w:tc>
        <w:tc>
          <w:tcPr>
            <w:tcW w:w="256"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学士及以上</w:t>
            </w:r>
          </w:p>
        </w:tc>
        <w:tc>
          <w:tcPr>
            <w:tcW w:w="490" w:type="pct"/>
            <w:tcBorders>
              <w:top w:val="single" w:color="auto" w:sz="4" w:space="0"/>
              <w:left w:val="nil"/>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经济贸易类、管理科学与工程类、工商管理类、农业经济管理类</w:t>
            </w:r>
          </w:p>
        </w:tc>
        <w:tc>
          <w:tcPr>
            <w:tcW w:w="1209" w:type="pct"/>
            <w:tcBorders>
              <w:top w:val="single" w:color="auto" w:sz="4" w:space="0"/>
              <w:left w:val="nil"/>
              <w:bottom w:val="single" w:color="auto" w:sz="4" w:space="0"/>
              <w:right w:val="single" w:color="auto" w:sz="4" w:space="0"/>
            </w:tcBorders>
            <w:noWrap w:val="0"/>
            <w:vAlign w:val="center"/>
          </w:tcPr>
          <w:p>
            <w:pPr>
              <w:spacing w:line="260" w:lineRule="exact"/>
              <w:textAlignment w:val="center"/>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rPr>
              <w:t>1、具有5年以上招商运营相关工作经验，其间任职管理岗位（或独立负责项目招商运营工作）不少于2年；</w:t>
            </w:r>
          </w:p>
          <w:p>
            <w:pPr>
              <w:spacing w:line="260" w:lineRule="exact"/>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2、熟悉园区建设、运营管理及相关政策申报；有良好的语言组织和公文写作能力；工作严谨，能承受较大的工作压力；具有团队合作精神，具备良好的沟通、应变和组织协调能力。</w:t>
            </w:r>
          </w:p>
        </w:tc>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color w:val="000000"/>
                <w:kern w:val="0"/>
                <w:sz w:val="22"/>
                <w:szCs w:val="22"/>
              </w:rPr>
              <w:t>考试聘用</w:t>
            </w:r>
          </w:p>
        </w:tc>
        <w:tc>
          <w:tcPr>
            <w:tcW w:w="746"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楷体" w:cs="Times New Roman"/>
                <w:color w:val="auto"/>
                <w:kern w:val="0"/>
                <w:sz w:val="24"/>
                <w:szCs w:val="24"/>
                <w:lang w:val="en-US" w:eastAsia="zh-CN" w:bidi="ar-SA"/>
              </w:rPr>
            </w:pPr>
          </w:p>
        </w:tc>
      </w:tr>
      <w:tr>
        <w:tblPrEx>
          <w:tblCellMar>
            <w:top w:w="0" w:type="dxa"/>
            <w:left w:w="108" w:type="dxa"/>
            <w:bottom w:w="0" w:type="dxa"/>
            <w:right w:w="108" w:type="dxa"/>
          </w:tblCellMar>
        </w:tblPrEx>
        <w:trPr>
          <w:trHeight w:val="597" w:hRule="atLeast"/>
          <w:jc w:val="center"/>
        </w:trPr>
        <w:tc>
          <w:tcPr>
            <w:tcW w:w="884"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textAlignment w:val="center"/>
              <w:rPr>
                <w:rFonts w:hint="default" w:ascii="Times New Roman" w:hAnsi="Times New Roman" w:eastAsia="楷体" w:cs="Times New Roman"/>
                <w:kern w:val="0"/>
                <w:sz w:val="24"/>
                <w:szCs w:val="24"/>
                <w:lang w:val="en-US" w:eastAsia="zh-CN" w:bidi="ar-SA"/>
              </w:rPr>
            </w:pPr>
            <w:r>
              <w:rPr>
                <w:rFonts w:hint="default" w:ascii="Times New Roman" w:hAnsi="Times New Roman" w:eastAsia="楷体" w:cs="Times New Roman"/>
                <w:kern w:val="0"/>
                <w:sz w:val="24"/>
                <w:szCs w:val="24"/>
                <w:lang w:val="en-US" w:eastAsia="zh-CN" w:bidi="ar-SA"/>
              </w:rPr>
              <w:t>合计</w:t>
            </w:r>
          </w:p>
        </w:tc>
        <w:tc>
          <w:tcPr>
            <w:tcW w:w="4115" w:type="pct"/>
            <w:gridSpan w:val="9"/>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楷体" w:cs="Times New Roman"/>
                <w:i w:val="0"/>
                <w:iCs w:val="0"/>
                <w:color w:val="auto"/>
                <w:kern w:val="0"/>
                <w:sz w:val="24"/>
                <w:szCs w:val="24"/>
                <w:highlight w:val="none"/>
                <w:u w:val="none"/>
                <w:lang w:val="en-US" w:eastAsia="zh-CN"/>
              </w:rPr>
            </w:pPr>
            <w:r>
              <w:rPr>
                <w:rFonts w:hint="default" w:ascii="Times New Roman" w:hAnsi="Times New Roman" w:eastAsia="楷体" w:cs="Times New Roman"/>
                <w:i w:val="0"/>
                <w:iCs w:val="0"/>
                <w:color w:val="auto"/>
                <w:kern w:val="0"/>
                <w:sz w:val="24"/>
                <w:szCs w:val="24"/>
                <w:highlight w:val="none"/>
                <w:u w:val="none"/>
                <w:lang w:val="en-US" w:eastAsia="zh-CN"/>
              </w:rPr>
              <w:t>25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jMThkZmI0MWU1YzM5YjcxMmM0NjcyMGY5ODRjMTQifQ=="/>
  </w:docVars>
  <w:rsids>
    <w:rsidRoot w:val="2C911B2F"/>
    <w:rsid w:val="2C911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2024-02-01T09:28:00Z</dcterms:created>
  <dc:creator>肥平☺️</dc:creator>
  <cp:lastModifiedBy>肥平☺️</cp:lastModifiedBy>
  <dcterms:modified xsi:type="dcterms:W3CDTF">2024-02-01T09:29:19Z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1B2D417AE3294AC0BE793830A137A006_11</vt:lpwstr>
  </property>
</Properties>
</file>